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rFonts w:ascii="Arial Unicode MS" w:hAnsi="Arial Unicode MS" w:eastAsia="Arial Unicode MS" w:cs="Arial Unicode MS"/>
        </w:rPr>
        <w:t>NovaDesk 试点复盘</w:t>
      </w:r>
    </w:p>
    <w:p>
      <w:pPr>
        <w:spacing w:after="320"/>
      </w:pPr>
      <w:r>
        <w:rPr>
          <w:rFonts w:ascii="Arial Unicode MS" w:hAnsi="Arial Unicode MS" w:eastAsia="Arial Unicode MS" w:cs="Arial Unicode MS"/>
          <w:color w:val="555555"/>
          <w:sz w:val="21"/>
        </w:rPr>
        <w:t>管理层内部评审版  2026 年 5 月</w:t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结论</w:t>
      </w:r>
    </w:p>
    <w:p>
      <w:r>
        <w:rPr>
          <w:rFonts w:ascii="Arial Unicode MS" w:hAnsi="Arial Unicode MS" w:eastAsia="Arial Unicode MS" w:cs="Arial Unicode MS"/>
        </w:rPr>
        <w:t>试点达到平均处理时间不超过 10 分钟的目标，但现有材料不足以支持公开发布决定。36 名活跃用户的平均处理时间从 14 分钟降至 9 分钟；7 次导出错误已重新处理，根因仍待确认。</w:t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1 试点范围</w:t>
      </w:r>
    </w:p>
    <w:p>
      <w:r>
        <w:rPr>
          <w:rFonts w:ascii="Arial Unicode MS" w:hAnsi="Arial Unicode MS" w:eastAsia="Arial Unicode MS" w:cs="Arial Unicode MS"/>
        </w:rPr>
        <w:t>试点于 2026 年 4 月 8 日至 5 月 3 日开展，共邀请 48 人，其中 36 人达到活跃用户定义。试点用于验证 NovaDesk 批量整理工单功能，不包含公开发布决策。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173"/>
        <w:gridCol w:w="3173"/>
        <w:gridCol w:w="3173"/>
      </w:tblGrid>
      <w:tr>
        <w:trPr>
          <w:tblHeader w:val="true"/>
        </w:trPr>
        <w:tc>
          <w:tcPr>
            <w:tcW w:type="dxa" w:w="1928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项目</w:t>
            </w:r>
          </w:p>
        </w:tc>
        <w:tc>
          <w:tcPr>
            <w:tcW w:type="dxa" w:w="4706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结果</w:t>
            </w:r>
          </w:p>
        </w:tc>
        <w:tc>
          <w:tcPr>
            <w:tcW w:type="dxa" w:w="2154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来源</w:t>
            </w:r>
          </w:p>
        </w:tc>
      </w:tr>
      <w:tr>
        <w:tc>
          <w:tcPr>
            <w:tcW w:type="dxa" w:w="192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试点周期</w:t>
            </w:r>
          </w:p>
        </w:tc>
        <w:tc>
          <w:tcPr>
            <w:tcW w:type="dxa" w:w="470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2026 年 4 月 8 日至 5 月 3 日</w:t>
            </w:r>
          </w:p>
        </w:tc>
        <w:tc>
          <w:tcPr>
            <w:tcW w:type="dxa" w:w="215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F01</w:t>
            </w:r>
          </w:p>
        </w:tc>
      </w:tr>
      <w:tr>
        <w:tc>
          <w:tcPr>
            <w:tcW w:type="dxa" w:w="192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参与情况</w:t>
            </w:r>
          </w:p>
        </w:tc>
        <w:tc>
          <w:tcPr>
            <w:tcW w:type="dxa" w:w="470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邀请 48 人，活跃 36 人</w:t>
            </w:r>
          </w:p>
        </w:tc>
        <w:tc>
          <w:tcPr>
            <w:tcW w:type="dxa" w:w="215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F02</w:t>
            </w:r>
          </w:p>
        </w:tc>
      </w:tr>
      <w:tr>
        <w:tc>
          <w:tcPr>
            <w:tcW w:type="dxa" w:w="192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目标</w:t>
            </w:r>
          </w:p>
        </w:tc>
        <w:tc>
          <w:tcPr>
            <w:tcW w:type="dxa" w:w="470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平均处理时间不超过 10 分钟</w:t>
            </w:r>
          </w:p>
        </w:tc>
        <w:tc>
          <w:tcPr>
            <w:tcW w:type="dxa" w:w="215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F05</w:t>
            </w:r>
          </w:p>
        </w:tc>
      </w:tr>
      <w:tr>
        <w:tc>
          <w:tcPr>
            <w:tcW w:type="dxa" w:w="192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发布状态</w:t>
            </w:r>
          </w:p>
        </w:tc>
        <w:tc>
          <w:tcPr>
            <w:tcW w:type="dxa" w:w="470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尚未决定是否公开发布</w:t>
            </w:r>
          </w:p>
        </w:tc>
        <w:tc>
          <w:tcPr>
            <w:tcW w:type="dxa" w:w="215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F08</w:t>
            </w:r>
          </w:p>
        </w:tc>
      </w:tr>
    </w:tbl>
    <w:p>
      <w:pPr>
        <w:spacing w:after="40"/>
      </w:pPr>
    </w:p>
    <w:p>
      <w:pPr>
        <w:pStyle w:val="Heading2"/>
      </w:pPr>
      <w:r>
        <w:rPr>
          <w:rFonts w:ascii="Arial Unicode MS" w:hAnsi="Arial Unicode MS" w:eastAsia="Arial Unicode MS" w:cs="Arial Unicode MS"/>
        </w:rPr>
        <w:t>方法和口径</w:t>
      </w:r>
    </w:p>
    <w:p>
      <w:r>
        <w:rPr>
          <w:rFonts w:ascii="Arial Unicode MS" w:hAnsi="Arial Unicode MS" w:eastAsia="Arial Unicode MS" w:cs="Arial Unicode MS"/>
        </w:rPr>
        <w:t>活跃用户指试点期间至少完成一次批量整理的人。处理时间比较采用同一业务流程的试点前后平均值；满意度来自 24 份问卷。材料没有提供误差范围或对照组，因此本文只描述变化，不推断因果。</w:t>
      </w:r>
    </w:p>
    <w:p>
      <w:r>
        <w:rPr>
          <w:rFonts w:ascii="Arial Unicode MS" w:hAnsi="Arial Unicode MS" w:eastAsia="Arial Unicode MS" w:cs="Arial Unicode MS"/>
        </w:rPr>
        <w:br w:type="page"/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2 结果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379"/>
        <w:gridCol w:w="2379"/>
        <w:gridCol w:w="2379"/>
        <w:gridCol w:w="2379"/>
      </w:tblGrid>
      <w:tr>
        <w:trPr>
          <w:tblHeader w:val="true"/>
        </w:trPr>
        <w:tc>
          <w:tcPr>
            <w:tcW w:type="dxa" w:w="1814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指标</w:t>
            </w:r>
          </w:p>
        </w:tc>
        <w:tc>
          <w:tcPr>
            <w:tcW w:type="dxa" w:w="2551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结果</w:t>
            </w:r>
          </w:p>
        </w:tc>
        <w:tc>
          <w:tcPr>
            <w:tcW w:type="dxa" w:w="2948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判断</w:t>
            </w:r>
          </w:p>
        </w:tc>
        <w:tc>
          <w:tcPr>
            <w:tcW w:type="dxa" w:w="1474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来源</w:t>
            </w:r>
          </w:p>
        </w:tc>
      </w:tr>
      <w:tr>
        <w:tc>
          <w:tcPr>
            <w:tcW w:type="dxa" w:w="181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平均处理时间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14 分钟降至 9 分钟</w:t>
            </w:r>
          </w:p>
        </w:tc>
        <w:tc>
          <w:tcPr>
            <w:tcW w:type="dxa" w:w="294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达到既定目标</w:t>
            </w:r>
          </w:p>
        </w:tc>
        <w:tc>
          <w:tcPr>
            <w:tcW w:type="dxa" w:w="147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F03 F05</w:t>
            </w:r>
          </w:p>
        </w:tc>
      </w:tr>
      <w:tr>
        <w:tc>
          <w:tcPr>
            <w:tcW w:type="dxa" w:w="181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导出错误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7 次，均已重新处理</w:t>
            </w:r>
          </w:p>
        </w:tc>
        <w:tc>
          <w:tcPr>
            <w:tcW w:type="dxa" w:w="294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根因待确认</w:t>
            </w:r>
          </w:p>
        </w:tc>
        <w:tc>
          <w:tcPr>
            <w:tcW w:type="dxa" w:w="147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F04</w:t>
            </w:r>
          </w:p>
        </w:tc>
      </w:tr>
      <w:tr>
        <w:tc>
          <w:tcPr>
            <w:tcW w:type="dxa" w:w="181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满意度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4.2 / 5，共 24 份问卷</w:t>
            </w:r>
          </w:p>
        </w:tc>
        <w:tc>
          <w:tcPr>
            <w:tcW w:type="dxa" w:w="2948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不能代表全部受邀者</w:t>
            </w:r>
          </w:p>
        </w:tc>
        <w:tc>
          <w:tcPr>
            <w:tcW w:type="dxa" w:w="147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F06</w:t>
            </w:r>
          </w:p>
        </w:tc>
      </w:tr>
    </w:tbl>
    <w:p>
      <w:pPr>
        <w:spacing w:after="40"/>
      </w:pPr>
    </w:p>
    <w:p>
      <w:pPr>
        <w:pStyle w:val="Heading1"/>
      </w:pPr>
      <w:r>
        <w:rPr>
          <w:rFonts w:ascii="Arial Unicode MS" w:hAnsi="Arial Unicode MS" w:eastAsia="Arial Unicode MS" w:cs="Arial Unicode MS"/>
        </w:rPr>
        <w:t>3 风险和待确认事项</w:t>
      </w:r>
    </w:p>
    <w:p>
      <w:r>
        <w:rPr>
          <w:rFonts w:ascii="Arial Unicode MS" w:hAnsi="Arial Unicode MS" w:eastAsia="Arial Unicode MS" w:cs="Arial Unicode MS"/>
          <w:b/>
          <w:color w:val="000000"/>
          <w:sz w:val="21"/>
        </w:rPr>
        <w:t xml:space="preserve">导出错误  </w:t>
      </w:r>
      <w:r>
        <w:rPr>
          <w:rFonts w:ascii="Arial Unicode MS" w:hAnsi="Arial Unicode MS" w:eastAsia="Arial Unicode MS" w:cs="Arial Unicode MS"/>
          <w:color w:val="000000"/>
          <w:sz w:val="21"/>
        </w:rPr>
        <w:t>7 次错误的触发条件和根因未提供，公开发布前需要补齐。</w:t>
      </w:r>
    </w:p>
    <w:p>
      <w:r>
        <w:rPr>
          <w:rFonts w:ascii="Arial Unicode MS" w:hAnsi="Arial Unicode MS" w:eastAsia="Arial Unicode MS" w:cs="Arial Unicode MS"/>
          <w:b/>
          <w:color w:val="000000"/>
          <w:sz w:val="21"/>
        </w:rPr>
        <w:t xml:space="preserve">反馈代表性  </w:t>
      </w:r>
      <w:r>
        <w:rPr>
          <w:rFonts w:ascii="Arial Unicode MS" w:hAnsi="Arial Unicode MS" w:eastAsia="Arial Unicode MS" w:cs="Arial Unicode MS"/>
          <w:color w:val="000000"/>
          <w:sz w:val="21"/>
        </w:rPr>
        <w:t>满意度仅来自 24 份问卷，不能推断所有参与者都认可。</w:t>
      </w:r>
    </w:p>
    <w:p>
      <w:r>
        <w:rPr>
          <w:rFonts w:ascii="Arial Unicode MS" w:hAnsi="Arial Unicode MS" w:eastAsia="Arial Unicode MS" w:cs="Arial Unicode MS"/>
          <w:b/>
          <w:color w:val="000000"/>
          <w:sz w:val="21"/>
        </w:rPr>
        <w:t xml:space="preserve">发布决策  </w:t>
      </w:r>
      <w:r>
        <w:rPr>
          <w:rFonts w:ascii="Arial Unicode MS" w:hAnsi="Arial Unicode MS" w:eastAsia="Arial Unicode MS" w:cs="Arial Unicode MS"/>
          <w:color w:val="000000"/>
          <w:sz w:val="21"/>
        </w:rPr>
        <w:t>现有材料明确未作决定，应由负责人完成错误分析后再评审。</w:t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4 下一步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1904"/>
        <w:gridCol w:w="1904"/>
        <w:gridCol w:w="1904"/>
        <w:gridCol w:w="1904"/>
        <w:gridCol w:w="1904"/>
      </w:tblGrid>
      <w:tr>
        <w:trPr>
          <w:tblHeader w:val="true"/>
        </w:trPr>
        <w:tc>
          <w:tcPr>
            <w:tcW w:type="dxa" w:w="1871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行动</w:t>
            </w:r>
          </w:p>
        </w:tc>
        <w:tc>
          <w:tcPr>
            <w:tcW w:type="dxa" w:w="1361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负责人</w:t>
            </w:r>
          </w:p>
        </w:tc>
        <w:tc>
          <w:tcPr>
            <w:tcW w:type="dxa" w:w="1587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截止日期</w:t>
            </w:r>
          </w:p>
        </w:tc>
        <w:tc>
          <w:tcPr>
            <w:tcW w:type="dxa" w:w="3175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完成条件</w:t>
            </w:r>
          </w:p>
        </w:tc>
        <w:tc>
          <w:tcPr>
            <w:tcW w:type="dxa" w:w="1134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来源</w:t>
            </w:r>
          </w:p>
        </w:tc>
      </w:tr>
      <w:tr>
        <w:tc>
          <w:tcPr>
            <w:tcW w:type="dxa" w:w="187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提交导出错误分析</w:t>
            </w:r>
          </w:p>
        </w:tc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李文</w:t>
            </w:r>
          </w:p>
        </w:tc>
        <w:tc>
          <w:tcPr>
            <w:tcW w:type="dxa" w:w="158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2026 年 5 月 17 日</w:t>
            </w:r>
          </w:p>
        </w:tc>
        <w:tc>
          <w:tcPr>
            <w:tcW w:type="dxa" w:w="3175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说明 7 次错误的触发条件、影响和修复建议</w:t>
            </w:r>
          </w:p>
        </w:tc>
        <w:tc>
          <w:tcPr>
            <w:tcW w:type="dxa" w:w="113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F04 F07</w:t>
            </w:r>
          </w:p>
        </w:tc>
      </w:tr>
      <w:tr>
        <w:tc>
          <w:tcPr>
            <w:tcW w:type="dxa" w:w="187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复核发布条件</w:t>
            </w:r>
          </w:p>
        </w:tc>
        <w:tc>
          <w:tcPr>
            <w:tcW w:type="dxa" w:w="136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待确认</w:t>
            </w:r>
          </w:p>
        </w:tc>
        <w:tc>
          <w:tcPr>
            <w:tcW w:type="dxa" w:w="158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待确认</w:t>
            </w:r>
          </w:p>
        </w:tc>
        <w:tc>
          <w:tcPr>
            <w:tcW w:type="dxa" w:w="3175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基于错误分析和正式决策记录更新状态</w:t>
            </w:r>
          </w:p>
        </w:tc>
        <w:tc>
          <w:tcPr>
            <w:tcW w:type="dxa" w:w="1134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F08</w:t>
            </w:r>
          </w:p>
        </w:tc>
      </w:tr>
    </w:tbl>
    <w:p>
      <w:pPr>
        <w:spacing w:after="40"/>
      </w:pPr>
    </w:p>
    <w:p>
      <w:r>
        <w:rPr>
          <w:rFonts w:ascii="Arial Unicode MS" w:hAnsi="Arial Unicode MS" w:eastAsia="Arial Unicode MS" w:cs="Arial Unicode MS"/>
        </w:rPr>
        <w:br w:type="page"/>
      </w:r>
    </w:p>
    <w:p>
      <w:pPr>
        <w:pStyle w:val="Heading1"/>
      </w:pPr>
      <w:r>
        <w:rPr>
          <w:rFonts w:ascii="Arial Unicode MS" w:hAnsi="Arial Unicode MS" w:eastAsia="Arial Unicode MS" w:cs="Arial Unicode MS"/>
        </w:rPr>
        <w:t>附录 事实核对</w:t>
      </w:r>
    </w:p>
    <w:p>
      <w:r>
        <w:rPr>
          <w:rFonts w:ascii="Arial Unicode MS" w:hAnsi="Arial Unicode MS" w:eastAsia="Arial Unicode MS" w:cs="Arial Unicode MS"/>
        </w:rPr>
        <w:t>本文只采用 F01 至 F08。项目名称统一为 NovaDesk；材料没有提供错误根因、正式发布决定和第二项行动的负责人或日期，这些位置均保留待确认。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173"/>
        <w:gridCol w:w="3173"/>
        <w:gridCol w:w="3173"/>
      </w:tblGrid>
      <w:tr>
        <w:trPr>
          <w:tblHeader w:val="true"/>
        </w:trPr>
        <w:tc>
          <w:tcPr>
            <w:tcW w:type="dxa" w:w="1417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事实 ID</w:t>
            </w:r>
          </w:p>
        </w:tc>
        <w:tc>
          <w:tcPr>
            <w:tcW w:type="dxa" w:w="4649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采用内容</w:t>
            </w:r>
          </w:p>
        </w:tc>
        <w:tc>
          <w:tcPr>
            <w:tcW w:type="dxa" w:w="2551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正文位置</w:t>
            </w:r>
          </w:p>
        </w:tc>
      </w:tr>
      <w:tr>
        <w:tc>
          <w:tcPr>
            <w:tcW w:type="dxa" w:w="141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F01</w:t>
            </w:r>
          </w:p>
        </w:tc>
        <w:tc>
          <w:tcPr>
            <w:tcW w:type="dxa" w:w="4649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2026 年 4 月 8 日至 5 月 3 日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试点范围</w:t>
            </w:r>
          </w:p>
        </w:tc>
      </w:tr>
      <w:tr>
        <w:tc>
          <w:tcPr>
            <w:tcW w:type="dxa" w:w="141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F02</w:t>
            </w:r>
          </w:p>
        </w:tc>
        <w:tc>
          <w:tcPr>
            <w:tcW w:type="dxa" w:w="4649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邀请 48 人，活跃 36 人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试点范围</w:t>
            </w:r>
          </w:p>
        </w:tc>
      </w:tr>
      <w:tr>
        <w:tc>
          <w:tcPr>
            <w:tcW w:type="dxa" w:w="141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F03</w:t>
            </w:r>
          </w:p>
        </w:tc>
        <w:tc>
          <w:tcPr>
            <w:tcW w:type="dxa" w:w="4649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平均处理时间 14 分钟降至 9 分钟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结论、结果</w:t>
            </w:r>
          </w:p>
        </w:tc>
      </w:tr>
      <w:tr>
        <w:tc>
          <w:tcPr>
            <w:tcW w:type="dxa" w:w="141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F04</w:t>
            </w:r>
          </w:p>
        </w:tc>
        <w:tc>
          <w:tcPr>
            <w:tcW w:type="dxa" w:w="4649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7 次导出错误均已重新处理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结论、结果、下一步</w:t>
            </w:r>
          </w:p>
        </w:tc>
      </w:tr>
      <w:tr>
        <w:tc>
          <w:tcPr>
            <w:tcW w:type="dxa" w:w="141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F05</w:t>
            </w:r>
          </w:p>
        </w:tc>
        <w:tc>
          <w:tcPr>
            <w:tcW w:type="dxa" w:w="4649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目标是不超过 10 分钟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结论、试点范围、结果</w:t>
            </w:r>
          </w:p>
        </w:tc>
      </w:tr>
      <w:tr>
        <w:tc>
          <w:tcPr>
            <w:tcW w:type="dxa" w:w="141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F06</w:t>
            </w:r>
          </w:p>
        </w:tc>
        <w:tc>
          <w:tcPr>
            <w:tcW w:type="dxa" w:w="4649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满意度 4.2 / 5，共 24 份问卷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结果、风险</w:t>
            </w:r>
          </w:p>
        </w:tc>
      </w:tr>
      <w:tr>
        <w:tc>
          <w:tcPr>
            <w:tcW w:type="dxa" w:w="141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F07</w:t>
            </w:r>
          </w:p>
        </w:tc>
        <w:tc>
          <w:tcPr>
            <w:tcW w:type="dxa" w:w="4649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李文于 2026 年 5 月 17 日提交分析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下一步</w:t>
            </w:r>
          </w:p>
        </w:tc>
      </w:tr>
      <w:tr>
        <w:tc>
          <w:tcPr>
            <w:tcW w:type="dxa" w:w="1417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F08</w:t>
            </w:r>
          </w:p>
        </w:tc>
        <w:tc>
          <w:tcPr>
            <w:tcW w:type="dxa" w:w="4649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尚未决定公开发布</w:t>
            </w:r>
          </w:p>
        </w:tc>
        <w:tc>
          <w:tcPr>
            <w:tcW w:type="dxa" w:w="2551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结论、试点范围、风险</w:t>
            </w:r>
          </w:p>
        </w:tc>
      </w:tr>
    </w:tbl>
    <w:p>
      <w:pPr>
        <w:spacing w:after="40"/>
      </w:pPr>
    </w:p>
    <w:p>
      <w:pPr>
        <w:pStyle w:val="Heading1"/>
      </w:pPr>
      <w:r>
        <w:rPr>
          <w:rFonts w:ascii="Arial Unicode MS" w:hAnsi="Arial Unicode MS" w:eastAsia="Arial Unicode MS" w:cs="Arial Unicode MS"/>
        </w:rPr>
        <w:t>修改摘要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4759"/>
        <w:gridCol w:w="4759"/>
      </w:tblGrid>
      <w:tr>
        <w:trPr>
          <w:tblHeader w:val="true"/>
        </w:trPr>
        <w:tc>
          <w:tcPr>
            <w:tcW w:type="dxa" w:w="3402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问题</w:t>
            </w:r>
          </w:p>
        </w:tc>
        <w:tc>
          <w:tcPr>
            <w:tcW w:type="dxa" w:w="5216"/>
            <w:vAlign w:val="center"/>
            <w:shd w:fill="203864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b/>
                <w:color w:val="FFFFFF"/>
                <w:sz w:val="19"/>
              </w:rPr>
              <w:t>处理</w:t>
            </w:r>
          </w:p>
        </w:tc>
      </w:tr>
      <w:tr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日期、活跃人数和截止日期冲突</w:t>
            </w:r>
          </w:p>
        </w:tc>
        <w:tc>
          <w:tcPr>
            <w:tcW w:type="dxa" w:w="521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以 F01、F02、F07 为准并统一全文</w:t>
            </w:r>
          </w:p>
        </w:tc>
      </w:tr>
      <w:tr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把问卷结果扩大到所有参与者</w:t>
            </w:r>
          </w:p>
        </w:tc>
        <w:tc>
          <w:tcPr>
            <w:tcW w:type="dxa" w:w="521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补回收数并限制结论</w:t>
            </w:r>
          </w:p>
        </w:tc>
      </w:tr>
      <w:tr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把重新处理写成根因解决</w:t>
            </w:r>
          </w:p>
        </w:tc>
        <w:tc>
          <w:tcPr>
            <w:tcW w:type="dxa" w:w="521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保留根因待确认</w:t>
            </w:r>
          </w:p>
        </w:tc>
      </w:tr>
      <w:tr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无决策记录却建议公开发布</w:t>
            </w:r>
          </w:p>
        </w:tc>
        <w:tc>
          <w:tcPr>
            <w:tcW w:type="dxa" w:w="521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  <w:shd w:fill="F3F6FA"/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改为待正式评审</w:t>
            </w:r>
          </w:p>
        </w:tc>
      </w:tr>
      <w:tr>
        <w:tc>
          <w:tcPr>
            <w:tcW w:type="dxa" w:w="3402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center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标题层级和项目名称不一致</w:t>
            </w:r>
          </w:p>
        </w:tc>
        <w:tc>
          <w:tcPr>
            <w:tcW w:type="dxa" w:w="5216"/>
            <w:vAlign w:val="center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left"/>
            </w:pPr>
            <w:r>
              <w:rPr>
                <w:rFonts w:ascii="Arial Unicode MS" w:hAnsi="Arial Unicode MS" w:eastAsia="Arial Unicode MS" w:cs="Arial Unicode MS"/>
                <w:color w:val="000000"/>
                <w:sz w:val="18"/>
              </w:rPr>
              <w:t>使用标题样式并统一 NovaDesk</w:t>
            </w:r>
          </w:p>
        </w:tc>
      </w:tr>
    </w:tbl>
    <w:p>
      <w:pPr>
        <w:spacing w:after="40"/>
      </w:pPr>
    </w:p>
    <w:sectPr w:rsidR="00FC693F" w:rsidRPr="0006063C" w:rsidSect="00034616">
      <w:footerReference w:type="default" r:id="rId9"/>
      <w:headerReference w:type="default" r:id="rId10"/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 Unicode MS" w:hAnsi="Arial Unicode MS" w:eastAsia="Arial Unicode MS" w:cs="Arial Unicode MS"/>
        <w:color w:val="666666"/>
        <w:sz w:val="18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hAnsi="Arial Unicode MS" w:eastAsia="Arial Unicode MS" w:cs="Arial Unicode MS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300" w:lineRule="auto"/>
    </w:pPr>
    <w:rPr>
      <w:rFonts w:ascii="Arial Unicode MS" w:hAnsi="Arial Unicode MS" w:eastAsia="Arial Unicode MS" w:cs="Arial Unicode M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40"/>
      <w:outlineLvl w:val="0"/>
    </w:pPr>
    <w:rPr>
      <w:rFonts w:ascii="Arial Unicode MS" w:hAnsi="Arial Unicode MS" w:eastAsia="Arial Unicode MS" w:cs="Arial Unicode MS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20" w:after="100"/>
      <w:outlineLvl w:val="1"/>
    </w:pPr>
    <w:rPr>
      <w:rFonts w:ascii="Arial Unicode MS" w:hAnsi="Arial Unicode MS" w:eastAsia="Arial Unicode MS" w:cs="Arial Unicode MS"/>
      <w:b/>
      <w:bCs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 Unicode MS" w:hAnsi="Arial Unicode MS" w:eastAsia="Arial Unicode MS" w:cs="Arial Unicode MS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rial Unicode MS" w:hAnsi="Arial Unicode MS" w:eastAsia="Arial Unicode MS" w:cs="Arial Unicode M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rial Unicode MS" w:hAnsi="Arial Unicode MS" w:eastAsia="Arial Unicode MS" w:cs="Arial Unicode M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rial Unicode MS" w:hAnsi="Arial Unicode MS" w:eastAsia="Arial Unicode MS" w:cs="Arial Unicode M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rial Unicode MS" w:hAnsi="Arial Unicode MS" w:eastAsia="Arial Unicode MS" w:cs="Arial Unicode M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rial Unicode MS" w:hAnsi="Arial Unicode MS" w:eastAsia="Arial Unicode MS" w:cs="Arial Unicode M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rial Unicode MS" w:hAnsi="Arial Unicode MS" w:eastAsia="Arial Unicode MS" w:cs="Arial Unicode M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rial Unicode MS" w:hAnsi="Arial Unicode MS" w:eastAsia="Arial Unicode MS" w:cs="Arial Unicode M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rial Unicode MS" w:hAnsi="Arial Unicode MS" w:eastAsia="Arial Unicode MS" w:cs="Arial Unicode M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80" w:line="240" w:lineRule="auto"/>
      <w:contextualSpacing/>
    </w:pPr>
    <w:rPr>
      <w:rFonts w:ascii="Arial Unicode MS" w:hAnsi="Arial Unicode MS" w:eastAsia="Arial Unicode MS" w:cs="Arial Unicode MS"/>
      <w:b/>
      <w:color w:val="00000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rial Unicode MS" w:hAnsi="Arial Unicode MS" w:eastAsia="Arial Unicode MS" w:cs="Arial Unicode M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rial Unicode MS" w:hAnsi="Arial Unicode MS" w:eastAsia="Arial Unicode MS" w:cs="Arial Unicode MS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rial Unicode MS" w:hAnsi="Arial Unicode MS" w:eastAsia="Arial Unicode MS" w:cs="Arial Unicode M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Arial Unicode MS" w:hAnsi="Arial Unicode MS" w:eastAsia="Arial Unicode MS" w:cs="Arial Unicode MS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Arial Unicode MS" w:hAnsi="Arial Unicode MS" w:eastAsia="Arial Unicode MS" w:cs="Arial Unicode MS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rial Unicode MS" w:hAnsi="Arial Unicode MS" w:eastAsia="Arial Unicode MS" w:cs="Arial Unicode M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rial Unicode MS" w:hAnsi="Arial Unicode MS" w:eastAsia="Arial Unicode MS" w:cs="Arial Unicode M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Arial Unicode MS" w:hAnsi="Arial Unicode MS" w:eastAsia="Arial Unicode MS" w:cs="Arial Unicode MS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Arial Unicode MS" w:hAnsi="Arial Unicode MS" w:eastAsia="Arial Unicode MS" w:cs="Arial Unicode MS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rial Unicode MS" w:hAnsi="Arial Unicode MS" w:eastAsia="Arial Unicode MS" w:cs="Arial Unicode M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rial Unicode MS" w:hAnsi="Arial Unicode MS" w:eastAsia="Arial Unicode MS" w:cs="Arial Unicode M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rial Unicode MS" w:hAnsi="Arial Unicode MS" w:eastAsia="Arial Unicode MS" w:cs="Arial Unicode M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rial Unicode MS" w:hAnsi="Arial Unicode MS" w:eastAsia="Arial Unicode MS" w:cs="Arial Unicode M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rial Unicode MS" w:hAnsi="Arial Unicode MS" w:eastAsia="Arial Unicode MS" w:cs="Arial Unicode M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Arial Unicode MS" w:hAnsi="Arial Unicode MS" w:eastAsia="Arial Unicode MS" w:cs="Arial Unicode MS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Arial Unicode MS" w:hAnsi="Arial Unicode MS" w:eastAsia="Arial Unicode MS" w:cs="Arial Unicode MS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Arial Unicode MS" w:hAnsi="Arial Unicode MS" w:eastAsia="Arial Unicode MS" w:cs="Arial Unicode MS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Arial Unicode MS" w:hAnsi="Arial Unicode MS" w:eastAsia="Arial Unicode MS" w:cs="Arial Unicode MS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Arial Unicode MS" w:hAnsi="Arial Unicode MS" w:eastAsia="Arial Unicode MS" w:cs="Arial Unicode MS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Arial Unicode MS" w:hAnsi="Arial Unicode MS" w:eastAsia="Arial Unicode MS" w:cs="Arial Unicode MS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Arial Unicode MS" w:hAnsi="Arial Unicode MS" w:eastAsia="Arial Unicode MS" w:cs="Arial Unicode MS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Arial Unicode MS" w:hAnsi="Arial Unicode MS" w:eastAsia="Arial Unicode MS" w:cs="Arial Unicode MS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Arial Unicode MS" w:hAnsi="Arial Unicode MS" w:eastAsia="Arial Unicode MS" w:cs="Arial Unicode MS"/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Arial Unicode MS" w:hAnsi="Arial Unicode MS" w:eastAsia="Arial Unicode MS" w:cs="Arial Unicode MS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NovaDesk 试点复盘</dc:title>
  <dc:subject>管理层内部评审版</dc:subject>
  <dc:creator>AgentClaw 教程样本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