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  <w:r>
        <w:rPr>
          <w:rFonts w:ascii="Arial Unicode MS" w:hAnsi="Arial Unicode MS" w:eastAsia="Arial Unicode MS" w:cs="Arial Unicode MS"/>
          <w:b/>
          <w:color w:val="000000"/>
          <w:sz w:val="44"/>
        </w:rPr>
        <w:t>NovaDesk 试点复盘草稿</w:t>
      </w:r>
    </w:p>
    <w:p>
      <w:pPr>
        <w:spacing w:after="320"/>
      </w:pPr>
      <w:r>
        <w:rPr>
          <w:rFonts w:ascii="Arial Unicode MS" w:hAnsi="Arial Unicode MS" w:eastAsia="Arial Unicode MS" w:cs="Arial Unicode MS"/>
        </w:rPr>
        <w:t>面向管理层的内部讨论稿</w:t>
      </w:r>
    </w:p>
    <w:p>
      <w:pPr>
        <w:pStyle w:val="Heading2"/>
      </w:pPr>
      <w:r>
        <w:rPr>
          <w:rFonts w:ascii="Arial Unicode MS" w:hAnsi="Arial Unicode MS" w:eastAsia="Arial Unicode MS" w:cs="Arial Unicode MS"/>
        </w:rPr>
        <w:t>一 项目背景</w:t>
      </w:r>
    </w:p>
    <w:p>
      <w:r>
        <w:rPr>
          <w:rFonts w:ascii="Arial Unicode MS" w:hAnsi="Arial Unicode MS" w:eastAsia="Arial Unicode MS" w:cs="Arial Unicode MS"/>
        </w:rPr>
        <w:t>Nova Desk 团队在 4 月 8 日至 5 月 10 日开展试点，希望验证批量整理工单是否能减少处理时间。项目目标是把平均处理时间降到 10 分钟以内。</w:t>
      </w:r>
    </w:p>
    <w:p>
      <w:r>
        <w:rPr>
          <w:rFonts w:ascii="Arial Unicode MS" w:hAnsi="Arial Unicode MS" w:eastAsia="Arial Unicode MS" w:cs="Arial Unicode MS"/>
        </w:rPr>
        <w:t>本次试点邀请 48 人，其中 40 人成为活跃用户。团队认为采用率非常理想，已经具备公开发布条件。</w:t>
      </w:r>
    </w:p>
    <w:p>
      <w:r>
        <w:rPr>
          <w:rFonts w:ascii="Arial Unicode MS" w:hAnsi="Arial Unicode MS" w:eastAsia="Arial Unicode MS" w:cs="Arial Unicode MS"/>
        </w:rPr>
        <w:t>项目目标是通过批量整理功能减少人工处理时间，并为公开发布提供依据。</w:t>
      </w:r>
    </w:p>
    <w:p>
      <w:pPr>
        <w:pStyle w:val="Heading1"/>
      </w:pPr>
      <w:r>
        <w:rPr>
          <w:rFonts w:ascii="Arial Unicode MS" w:hAnsi="Arial Unicode MS" w:eastAsia="Arial Unicode MS" w:cs="Arial Unicode MS"/>
        </w:rPr>
        <w:t>研究方式</w:t>
      </w:r>
    </w:p>
    <w:p>
      <w:r>
        <w:rPr>
          <w:rFonts w:ascii="Arial Unicode MS" w:hAnsi="Arial Unicode MS" w:eastAsia="Arial Unicode MS" w:cs="Arial Unicode MS"/>
        </w:rPr>
        <w:t>团队邀请试点成员使用批量整理功能，并比较试点前后的平均处理时间。活跃用户是至少完成过一次批量整理的参与者。满意度通过试点结束后的问卷收集。</w:t>
      </w:r>
    </w:p>
    <w:p>
      <w:r>
        <w:rPr>
          <w:rFonts w:ascii="Arial Unicode MS" w:hAnsi="Arial Unicode MS" w:eastAsia="Arial Unicode MS" w:cs="Arial Unicode MS"/>
        </w:rPr>
        <w:t>本稿没有写清统计周期、问卷回收数和导出错误的判断口径。部分记录使用 NovaDesk，部分记录使用 Nova Desk，名称尚未统一。</w:t>
      </w:r>
    </w:p>
    <w:p>
      <w:r>
        <w:rPr>
          <w:rFonts w:ascii="Arial Unicode MS" w:hAnsi="Arial Unicode MS" w:eastAsia="Arial Unicode MS" w:cs="Arial Unicode MS"/>
        </w:rPr>
        <w:t>访谈反馈显示，有人希望字段名称更清楚，也有人希望直接公开发布。由于原始访谈记录没有附在本稿中，这些意见暂时没有数量和来源编号。</w:t>
      </w:r>
    </w:p>
    <w:p>
      <w:r>
        <w:rPr>
          <w:rFonts w:ascii="Arial Unicode MS" w:hAnsi="Arial Unicode MS" w:eastAsia="Arial Unicode MS" w:cs="Arial Unicode MS"/>
        </w:rPr>
        <w:br w:type="page"/>
      </w:r>
    </w:p>
    <w:p>
      <w:pPr>
        <w:pStyle w:val="Heading1"/>
      </w:pPr>
      <w:r>
        <w:rPr>
          <w:rFonts w:ascii="Arial Unicode MS" w:hAnsi="Arial Unicode MS" w:eastAsia="Arial Unicode MS" w:cs="Arial Unicode MS"/>
        </w:rPr>
        <w:t>试点结果</w:t>
      </w:r>
    </w:p>
    <w:p>
      <w:r>
        <w:rPr>
          <w:rFonts w:ascii="Arial Unicode MS" w:hAnsi="Arial Unicode MS" w:eastAsia="Arial Unicode MS" w:cs="Arial Unicode MS"/>
        </w:rPr>
        <w:t>平均处理时间从 14 分钟降到 9 分钟。满意度为 4.2 分，说明所有参与者都认可新流程。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2379"/>
        <w:gridCol w:w="2379"/>
        <w:gridCol w:w="2379"/>
        <w:gridCol w:w="2379"/>
      </w:tblGrid>
      <w:tr>
        <w:trPr>
          <w:tblHeader w:val="true"/>
        </w:trPr>
        <w:tc>
          <w:tcPr>
            <w:tcW w:type="dxa" w:w="1984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指标</w:t>
            </w:r>
          </w:p>
        </w:tc>
        <w:tc>
          <w:tcPr>
            <w:tcW w:type="dxa" w:w="1701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试点前</w:t>
            </w:r>
          </w:p>
        </w:tc>
        <w:tc>
          <w:tcPr>
            <w:tcW w:type="dxa" w:w="1701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试点后</w:t>
            </w:r>
          </w:p>
        </w:tc>
        <w:tc>
          <w:tcPr>
            <w:tcW w:type="dxa" w:w="3402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说明</w:t>
            </w:r>
          </w:p>
        </w:tc>
      </w:tr>
      <w:tr>
        <w:tc>
          <w:tcPr>
            <w:tcW w:type="dxa" w:w="19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平均处理时间</w:t>
            </w:r>
          </w:p>
        </w:tc>
        <w:tc>
          <w:tcPr>
            <w:tcW w:type="dxa" w:w="170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14 分钟</w:t>
            </w:r>
          </w:p>
        </w:tc>
        <w:tc>
          <w:tcPr>
            <w:tcW w:type="dxa" w:w="170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9 分钟</w:t>
            </w:r>
          </w:p>
        </w:tc>
        <w:tc>
          <w:tcPr>
            <w:tcW w:type="dxa" w:w="340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达到目标</w:t>
            </w:r>
          </w:p>
        </w:tc>
      </w:tr>
      <w:tr>
        <w:tc>
          <w:tcPr>
            <w:tcW w:type="dxa" w:w="19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活跃用户</w:t>
            </w:r>
          </w:p>
        </w:tc>
        <w:tc>
          <w:tcPr>
            <w:tcW w:type="dxa" w:w="170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-</w:t>
            </w:r>
          </w:p>
        </w:tc>
        <w:tc>
          <w:tcPr>
            <w:tcW w:type="dxa" w:w="170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40 人</w:t>
            </w:r>
          </w:p>
        </w:tc>
        <w:tc>
          <w:tcPr>
            <w:tcW w:type="dxa" w:w="340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采用率较高</w:t>
            </w:r>
          </w:p>
        </w:tc>
      </w:tr>
      <w:tr>
        <w:tc>
          <w:tcPr>
            <w:tcW w:type="dxa" w:w="19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导出错误</w:t>
            </w:r>
          </w:p>
        </w:tc>
        <w:tc>
          <w:tcPr>
            <w:tcW w:type="dxa" w:w="170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0</w:t>
            </w:r>
          </w:p>
        </w:tc>
        <w:tc>
          <w:tcPr>
            <w:tcW w:type="dxa" w:w="170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7</w:t>
            </w:r>
          </w:p>
        </w:tc>
        <w:tc>
          <w:tcPr>
            <w:tcW w:type="dxa" w:w="340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已经处理</w:t>
            </w:r>
          </w:p>
        </w:tc>
      </w:tr>
      <w:tr>
        <w:tc>
          <w:tcPr>
            <w:tcW w:type="dxa" w:w="19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满意度</w:t>
            </w:r>
          </w:p>
        </w:tc>
        <w:tc>
          <w:tcPr>
            <w:tcW w:type="dxa" w:w="170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-</w:t>
            </w:r>
          </w:p>
        </w:tc>
        <w:tc>
          <w:tcPr>
            <w:tcW w:type="dxa" w:w="170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4.2 / 5</w:t>
            </w:r>
          </w:p>
        </w:tc>
        <w:tc>
          <w:tcPr>
            <w:tcW w:type="dxa" w:w="340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所有参与者认可</w:t>
            </w:r>
          </w:p>
        </w:tc>
      </w:tr>
    </w:tbl>
    <w:p>
      <w:pPr>
        <w:spacing w:after="40"/>
      </w:pPr>
    </w:p>
    <w:p>
      <w:pPr>
        <w:pStyle w:val="Heading3"/>
      </w:pPr>
      <w:r>
        <w:rPr>
          <w:rFonts w:ascii="Arial Unicode MS" w:hAnsi="Arial Unicode MS" w:eastAsia="Arial Unicode MS" w:cs="Arial Unicode MS"/>
        </w:rPr>
        <w:t>2.1 问题和风险</w:t>
      </w:r>
    </w:p>
    <w:p>
      <w:r>
        <w:rPr>
          <w:rFonts w:ascii="Arial Unicode MS" w:hAnsi="Arial Unicode MS" w:eastAsia="Arial Unicode MS" w:cs="Arial Unicode MS"/>
        </w:rPr>
        <w:t>试点中出现 7 次导出错误，团队已经重新处理。具体错误原因尚未写入本稿。</w:t>
      </w:r>
    </w:p>
    <w:p>
      <w:r>
        <w:rPr>
          <w:rFonts w:ascii="Arial Unicode MS" w:hAnsi="Arial Unicode MS" w:eastAsia="Arial Unicode MS" w:cs="Arial Unicode MS"/>
        </w:rPr>
        <w:t>部分反馈提到字段命名不够清楚，但没有汇总原始意见。</w:t>
      </w:r>
    </w:p>
    <w:p>
      <w:pPr>
        <w:pStyle w:val="Heading1"/>
      </w:pPr>
      <w:r>
        <w:rPr>
          <w:rFonts w:ascii="Arial Unicode MS" w:hAnsi="Arial Unicode MS" w:eastAsia="Arial Unicode MS" w:cs="Arial Unicode MS"/>
        </w:rPr>
        <w:t>3 讨论</w:t>
      </w:r>
    </w:p>
    <w:p>
      <w:r>
        <w:rPr>
          <w:rFonts w:ascii="Arial Unicode MS" w:hAnsi="Arial Unicode MS" w:eastAsia="Arial Unicode MS" w:cs="Arial Unicode MS"/>
        </w:rPr>
        <w:t>处理时间低于目标值，说明流程已经得到改善。团队还需要确认这个变化是否来自批量整理功能，还是来自成员逐渐熟悉任务。</w:t>
      </w:r>
    </w:p>
    <w:p>
      <w:r>
        <w:rPr>
          <w:rFonts w:ascii="Arial Unicode MS" w:hAnsi="Arial Unicode MS" w:eastAsia="Arial Unicode MS" w:cs="Arial Unicode MS"/>
        </w:rPr>
        <w:t>错误已经重新处理，但重新处理不等于根因已经解决。现有材料没有说明错误发生在哪些文件、是否重复出现或是否影响最终数据。</w:t>
      </w:r>
    </w:p>
    <w:p>
      <w:r>
        <w:rPr>
          <w:rFonts w:ascii="Arial Unicode MS" w:hAnsi="Arial Unicode MS" w:eastAsia="Arial Unicode MS" w:cs="Arial Unicode MS"/>
        </w:rPr>
        <w:t>满意度为 4.2 分，可以说明反馈整体积极。因为没有写问卷回收数量，本稿暂时把它理解为所有参与者的意见。</w:t>
      </w:r>
    </w:p>
    <w:p>
      <w:pPr>
        <w:pStyle w:val="Heading1"/>
      </w:pPr>
      <w:r>
        <w:rPr>
          <w:rFonts w:ascii="Arial Unicode MS" w:hAnsi="Arial Unicode MS" w:eastAsia="Arial Unicode MS" w:cs="Arial Unicode MS"/>
        </w:rPr>
        <w:t>四 下一步</w:t>
      </w:r>
    </w:p>
    <w:p>
      <w:pPr>
        <w:pStyle w:val="ListBullet"/>
      </w:pPr>
      <w:r>
        <w:rPr>
          <w:rFonts w:ascii="Arial Unicode MS" w:hAnsi="Arial Unicode MS" w:eastAsia="Arial Unicode MS" w:cs="Arial Unicode MS"/>
        </w:rPr>
        <w:t>继续优化导出稳定性。</w:t>
      </w:r>
    </w:p>
    <w:p>
      <w:pPr>
        <w:pStyle w:val="ListBullet"/>
      </w:pPr>
      <w:r>
        <w:rPr>
          <w:rFonts w:ascii="Arial Unicode MS" w:hAnsi="Arial Unicode MS" w:eastAsia="Arial Unicode MS" w:cs="Arial Unicode MS"/>
        </w:rPr>
        <w:t>负责人李文在 5 月底前提交错误分析。</w:t>
      </w:r>
    </w:p>
    <w:p>
      <w:pPr>
        <w:pStyle w:val="ListBullet"/>
      </w:pPr>
      <w:r>
        <w:rPr>
          <w:rFonts w:ascii="Arial Unicode MS" w:hAnsi="Arial Unicode MS" w:eastAsia="Arial Unicode MS" w:cs="Arial Unicode MS"/>
        </w:rPr>
        <w:t>尽快公开发布，扩大用户覆盖。</w:t>
      </w:r>
    </w:p>
    <w:p>
      <w:pPr>
        <w:pStyle w:val="Heading2"/>
        <w:pageBreakBefore/>
      </w:pPr>
      <w:r>
        <w:rPr>
          <w:rFonts w:ascii="Arial Unicode MS" w:hAnsi="Arial Unicode MS" w:eastAsia="Arial Unicode MS" w:cs="Arial Unicode MS"/>
        </w:rPr>
        <w:t>附件 数据口径</w:t>
      </w:r>
    </w:p>
    <w:p>
      <w:r>
        <w:rPr>
          <w:rFonts w:ascii="Arial Unicode MS" w:hAnsi="Arial Unicode MS" w:eastAsia="Arial Unicode MS" w:cs="Arial Unicode MS"/>
        </w:rPr>
        <w:t>活跃用户指试点期间至少完成一次批量整理的人。满意度分数来自问卷，但回收数量未记录。</w:t>
      </w:r>
    </w:p>
    <w:p>
      <w:r>
        <w:rPr>
          <w:rFonts w:ascii="Arial Unicode MS" w:hAnsi="Arial Unicode MS" w:eastAsia="Arial Unicode MS" w:cs="Arial Unicode MS"/>
        </w:rPr>
        <w:t>文档中 NovaDesk 与 Nova Desk 指同一项目，后续统一即可。</w:t>
      </w:r>
    </w:p>
    <w:p>
      <w:pPr>
        <w:pStyle w:val="Heading1"/>
      </w:pPr>
      <w:r>
        <w:rPr>
          <w:rFonts w:ascii="Arial Unicode MS" w:hAnsi="Arial Unicode MS" w:eastAsia="Arial Unicode MS" w:cs="Arial Unicode MS"/>
        </w:rPr>
        <w:t>附件 原始记录摘要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3173"/>
        <w:gridCol w:w="3173"/>
        <w:gridCol w:w="3173"/>
      </w:tblGrid>
      <w:tr>
        <w:trPr>
          <w:tblHeader w:val="true"/>
        </w:trPr>
        <w:tc>
          <w:tcPr>
            <w:tcW w:type="dxa" w:w="1361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记录</w:t>
            </w:r>
          </w:p>
        </w:tc>
        <w:tc>
          <w:tcPr>
            <w:tcW w:type="dxa" w:w="5386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内容</w:t>
            </w:r>
          </w:p>
        </w:tc>
        <w:tc>
          <w:tcPr>
            <w:tcW w:type="dxa" w:w="1984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状态</w:t>
            </w:r>
          </w:p>
        </w:tc>
      </w:tr>
      <w:tr>
        <w:tc>
          <w:tcPr>
            <w:tcW w:type="dxa" w:w="136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R01</w:t>
            </w:r>
          </w:p>
        </w:tc>
        <w:tc>
          <w:tcPr>
            <w:tcW w:type="dxa" w:w="538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试点开始 4 月 8 日</w:t>
            </w:r>
          </w:p>
        </w:tc>
        <w:tc>
          <w:tcPr>
            <w:tcW w:type="dxa" w:w="19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已记录</w:t>
            </w:r>
          </w:p>
        </w:tc>
      </w:tr>
      <w:tr>
        <w:tc>
          <w:tcPr>
            <w:tcW w:type="dxa" w:w="136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R02</w:t>
            </w:r>
          </w:p>
        </w:tc>
        <w:tc>
          <w:tcPr>
            <w:tcW w:type="dxa" w:w="538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试点结束 5 月 10 日</w:t>
            </w:r>
          </w:p>
        </w:tc>
        <w:tc>
          <w:tcPr>
            <w:tcW w:type="dxa" w:w="19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待复核</w:t>
            </w:r>
          </w:p>
        </w:tc>
      </w:tr>
      <w:tr>
        <w:tc>
          <w:tcPr>
            <w:tcW w:type="dxa" w:w="136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R03</w:t>
            </w:r>
          </w:p>
        </w:tc>
        <w:tc>
          <w:tcPr>
            <w:tcW w:type="dxa" w:w="538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邀请 48 人</w:t>
            </w:r>
          </w:p>
        </w:tc>
        <w:tc>
          <w:tcPr>
            <w:tcW w:type="dxa" w:w="19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已记录</w:t>
            </w:r>
          </w:p>
        </w:tc>
      </w:tr>
      <w:tr>
        <w:tc>
          <w:tcPr>
            <w:tcW w:type="dxa" w:w="136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R04</w:t>
            </w:r>
          </w:p>
        </w:tc>
        <w:tc>
          <w:tcPr>
            <w:tcW w:type="dxa" w:w="538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活跃 40 人</w:t>
            </w:r>
          </w:p>
        </w:tc>
        <w:tc>
          <w:tcPr>
            <w:tcW w:type="dxa" w:w="19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待复核</w:t>
            </w:r>
          </w:p>
        </w:tc>
      </w:tr>
      <w:tr>
        <w:tc>
          <w:tcPr>
            <w:tcW w:type="dxa" w:w="136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R05</w:t>
            </w:r>
          </w:p>
        </w:tc>
        <w:tc>
          <w:tcPr>
            <w:tcW w:type="dxa" w:w="538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处理时间 14 分钟降至 9 分钟</w:t>
            </w:r>
          </w:p>
        </w:tc>
        <w:tc>
          <w:tcPr>
            <w:tcW w:type="dxa" w:w="19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已记录</w:t>
            </w:r>
          </w:p>
        </w:tc>
      </w:tr>
      <w:tr>
        <w:tc>
          <w:tcPr>
            <w:tcW w:type="dxa" w:w="136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R06</w:t>
            </w:r>
          </w:p>
        </w:tc>
        <w:tc>
          <w:tcPr>
            <w:tcW w:type="dxa" w:w="538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导出错误 7 次</w:t>
            </w:r>
          </w:p>
        </w:tc>
        <w:tc>
          <w:tcPr>
            <w:tcW w:type="dxa" w:w="19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已记录</w:t>
            </w:r>
          </w:p>
        </w:tc>
      </w:tr>
      <w:tr>
        <w:tc>
          <w:tcPr>
            <w:tcW w:type="dxa" w:w="136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R07</w:t>
            </w:r>
          </w:p>
        </w:tc>
        <w:tc>
          <w:tcPr>
            <w:tcW w:type="dxa" w:w="538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满意度 4.2 / 5</w:t>
            </w:r>
          </w:p>
        </w:tc>
        <w:tc>
          <w:tcPr>
            <w:tcW w:type="dxa" w:w="19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缺回收数</w:t>
            </w:r>
          </w:p>
        </w:tc>
      </w:tr>
      <w:tr>
        <w:tc>
          <w:tcPr>
            <w:tcW w:type="dxa" w:w="136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R08</w:t>
            </w:r>
          </w:p>
        </w:tc>
        <w:tc>
          <w:tcPr>
            <w:tcW w:type="dxa" w:w="538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建议公开发布</w:t>
            </w:r>
          </w:p>
        </w:tc>
        <w:tc>
          <w:tcPr>
            <w:tcW w:type="dxa" w:w="19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无决策记录</w:t>
            </w:r>
          </w:p>
        </w:tc>
      </w:tr>
    </w:tbl>
    <w:p>
      <w:pPr>
        <w:spacing w:after="40"/>
      </w:pP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61" w:bottom="124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hAnsi="Arial Unicode MS" w:eastAsia="Arial Unicode MS" w:cs="Arial Unicode MS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300" w:lineRule="auto"/>
    </w:pPr>
    <w:rPr>
      <w:rFonts w:ascii="Arial Unicode MS" w:hAnsi="Arial Unicode MS" w:eastAsia="Arial Unicode MS" w:cs="Arial Unicode MS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40"/>
      <w:outlineLvl w:val="0"/>
    </w:pPr>
    <w:rPr>
      <w:rFonts w:ascii="Arial Unicode MS" w:hAnsi="Arial Unicode MS" w:eastAsia="Arial Unicode MS" w:cs="Arial Unicode MS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20" w:after="100"/>
      <w:outlineLvl w:val="1"/>
    </w:pPr>
    <w:rPr>
      <w:rFonts w:ascii="Arial Unicode MS" w:hAnsi="Arial Unicode MS" w:eastAsia="Arial Unicode MS" w:cs="Arial Unicode MS"/>
      <w:b/>
      <w:bCs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 Unicode MS" w:hAnsi="Arial Unicode MS" w:eastAsia="Arial Unicode MS" w:cs="Arial Unicode MS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Arial Unicode MS" w:hAnsi="Arial Unicode MS" w:eastAsia="Arial Unicode MS" w:cs="Arial Unicode MS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Arial Unicode MS" w:hAnsi="Arial Unicode MS" w:eastAsia="Arial Unicode MS" w:cs="Arial Unicode MS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Arial Unicode MS" w:hAnsi="Arial Unicode MS" w:eastAsia="Arial Unicode MS" w:cs="Arial Unicode MS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Arial Unicode MS" w:hAnsi="Arial Unicode MS" w:eastAsia="Arial Unicode MS" w:cs="Arial Unicode MS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Arial Unicode MS" w:hAnsi="Arial Unicode MS" w:eastAsia="Arial Unicode MS" w:cs="Arial Unicode MS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Arial Unicode MS" w:hAnsi="Arial Unicode MS" w:eastAsia="Arial Unicode MS" w:cs="Arial Unicode MS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Arial Unicode MS" w:hAnsi="Arial Unicode MS" w:eastAsia="Arial Unicode MS" w:cs="Arial Unicode MS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Arial Unicode MS" w:hAnsi="Arial Unicode MS" w:eastAsia="Arial Unicode MS" w:cs="Arial Unicode MS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Arial Unicode MS" w:hAnsi="Arial Unicode MS" w:eastAsia="Arial Unicode MS" w:cs="Arial Unicode MS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80" w:line="240" w:lineRule="auto"/>
      <w:contextualSpacing/>
    </w:pPr>
    <w:rPr>
      <w:rFonts w:ascii="Arial Unicode MS" w:hAnsi="Arial Unicode MS" w:eastAsia="Arial Unicode MS" w:cs="Arial Unicode MS"/>
      <w:b/>
      <w:color w:val="000000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Arial Unicode MS" w:hAnsi="Arial Unicode MS" w:eastAsia="Arial Unicode MS" w:cs="Arial Unicode MS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Arial Unicode MS" w:hAnsi="Arial Unicode MS" w:eastAsia="Arial Unicode MS" w:cs="Arial Unicode MS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Arial Unicode MS" w:hAnsi="Arial Unicode MS" w:eastAsia="Arial Unicode MS" w:cs="Arial Unicode MS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Arial Unicode MS" w:hAnsi="Arial Unicode MS" w:eastAsia="Arial Unicode MS" w:cs="Arial Unicode MS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Arial Unicode MS" w:hAnsi="Arial Unicode MS" w:eastAsia="Arial Unicode MS" w:cs="Arial Unicode MS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rial Unicode MS" w:hAnsi="Arial Unicode MS" w:eastAsia="Arial Unicode MS" w:cs="Arial Unicode M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Arial Unicode MS" w:hAnsi="Arial Unicode MS" w:eastAsia="Arial Unicode MS" w:cs="Arial Unicode MS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Arial Unicode MS" w:hAnsi="Arial Unicode MS" w:eastAsia="Arial Unicode MS" w:cs="Arial Unicode MS"/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Arial Unicode MS" w:hAnsi="Arial Unicode MS" w:eastAsia="Arial Unicode MS" w:cs="Arial Unicode MS"/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Arial Unicode MS" w:hAnsi="Arial Unicode MS" w:eastAsia="Arial Unicode MS" w:cs="Arial Unicode MS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Arial Unicode MS" w:hAnsi="Arial Unicode MS" w:eastAsia="Arial Unicode MS" w:cs="Arial Unicode MS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Arial Unicode MS" w:hAnsi="Arial Unicode MS" w:eastAsia="Arial Unicode MS" w:cs="Arial Unicode MS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Arial Unicode MS" w:hAnsi="Arial Unicode MS" w:eastAsia="Arial Unicode MS" w:cs="Arial Unicode MS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Arial Unicode MS" w:hAnsi="Arial Unicode MS" w:eastAsia="Arial Unicode MS" w:cs="Arial Unicode MS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Arial Unicode MS" w:hAnsi="Arial Unicode MS" w:eastAsia="Arial Unicode MS" w:cs="Arial Unicode MS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Arial Unicode MS" w:hAnsi="Arial Unicode MS" w:eastAsia="Arial Unicode MS" w:cs="Arial Unicode MS"/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Arial Unicode MS" w:hAnsi="Arial Unicode MS" w:eastAsia="Arial Unicode MS" w:cs="Arial Unicode MS"/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rFonts w:ascii="Arial Unicode MS" w:hAnsi="Arial Unicode MS" w:eastAsia="Arial Unicode MS" w:cs="Arial Unicode MS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Arial Unicode MS" w:hAnsi="Arial Unicode MS" w:eastAsia="Arial Unicode MS" w:cs="Arial Unicode MS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Arial Unicode MS" w:hAnsi="Arial Unicode MS" w:eastAsia="Arial Unicode MS" w:cs="Arial Unicode MS"/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Arial Unicode MS" w:hAnsi="Arial Unicode MS" w:eastAsia="Arial Unicode MS" w:cs="Arial Unicode MS"/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Arial Unicode MS" w:hAnsi="Arial Unicode MS" w:eastAsia="Arial Unicode MS" w:cs="Arial Unicode MS"/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Arial Unicode MS" w:hAnsi="Arial Unicode MS" w:eastAsia="Arial Unicode MS" w:cs="Arial Unicode MS"/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Arial Unicode MS" w:hAnsi="Arial Unicode MS" w:eastAsia="Arial Unicode MS" w:cs="Arial Unicode MS"/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Arial Unicode MS" w:hAnsi="Arial Unicode MS" w:eastAsia="Arial Unicode MS" w:cs="Arial Unicode MS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